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B1E" w:rsidRPr="008E2AD4" w:rsidRDefault="00B0415B">
      <w:pPr>
        <w:pStyle w:val="Tittel"/>
        <w:rPr>
          <w:noProof/>
          <w:lang w:val="nb-NO"/>
        </w:rPr>
      </w:pPr>
      <w:r>
        <w:rPr>
          <w:rFonts w:ascii="Trebuchet MS" w:hAnsi="Trebuchet MS"/>
          <w:noProof/>
          <w:color w:val="90C226"/>
          <w:lang w:val="nb-NO"/>
        </w:rPr>
        <w:t>Ansvarsavklaring</w:t>
      </w:r>
    </w:p>
    <w:p w:rsidR="00B0415B" w:rsidRPr="003F1C4E" w:rsidRDefault="00105DB3">
      <w:pPr>
        <w:pStyle w:val="Overskrift1"/>
        <w:rPr>
          <w:rFonts w:ascii="Trebuchet MS" w:hAnsi="Trebuchet MS"/>
          <w:b/>
          <w:noProof/>
          <w:color w:val="90C226"/>
          <w:lang w:val="nb-NO"/>
        </w:rPr>
      </w:pPr>
      <w:r w:rsidRPr="003F1C4E">
        <w:rPr>
          <w:rFonts w:ascii="Trebuchet MS" w:hAnsi="Trebuchet MS"/>
          <w:b/>
          <w:noProof/>
          <w:color w:val="90C226"/>
          <w:lang w:val="nb-NO"/>
        </w:rPr>
        <w:t>Ansvar og roller</w:t>
      </w:r>
    </w:p>
    <w:p w:rsidR="00105DB3" w:rsidRPr="003F1C4E" w:rsidRDefault="00105DB3" w:rsidP="00105DB3">
      <w:pPr>
        <w:autoSpaceDE w:val="0"/>
        <w:autoSpaceDN w:val="0"/>
        <w:adjustRightInd w:val="0"/>
        <w:spacing w:after="0" w:line="240" w:lineRule="auto"/>
        <w:rPr>
          <w:rFonts w:ascii="Calibri" w:hAnsi="Calibri" w:cs="Minion-Regular"/>
          <w:color w:val="62170D" w:themeColor="accent5" w:themeShade="80"/>
          <w:sz w:val="24"/>
          <w:lang w:val="nb-NO"/>
        </w:rPr>
      </w:pPr>
      <w:r w:rsidRPr="003F1C4E">
        <w:rPr>
          <w:rFonts w:ascii="Calibri" w:hAnsi="Calibri" w:cs="Minion-Regular"/>
          <w:b/>
          <w:color w:val="62170D" w:themeColor="accent5" w:themeShade="80"/>
          <w:sz w:val="24"/>
          <w:lang w:val="nb-NO"/>
        </w:rPr>
        <w:t>I kapittel åtte i Plan for trosopplæring</w:t>
      </w:r>
      <w:r w:rsidR="0088427F">
        <w:rPr>
          <w:rFonts w:ascii="Calibri" w:hAnsi="Calibri" w:cs="Minion-Regular"/>
          <w:b/>
          <w:color w:val="62170D" w:themeColor="accent5" w:themeShade="80"/>
          <w:sz w:val="24"/>
          <w:lang w:val="nb-NO"/>
        </w:rPr>
        <w:t xml:space="preserve"> (TOP)</w:t>
      </w:r>
      <w:r w:rsidRPr="003F1C4E">
        <w:rPr>
          <w:rFonts w:ascii="Calibri" w:hAnsi="Calibri" w:cs="Minion-Regular"/>
          <w:b/>
          <w:color w:val="62170D" w:themeColor="accent5" w:themeShade="80"/>
          <w:sz w:val="24"/>
          <w:lang w:val="nb-NO"/>
        </w:rPr>
        <w:t xml:space="preserve"> redegjøres det kort for gjeldende ordninger når det gjelder ansvarsforhold, tjenesteordninger og kirkelov. Dette gjelder også for konfirmasjonstiden</w:t>
      </w:r>
      <w:r w:rsidR="00EE3E13" w:rsidRPr="003F1C4E">
        <w:rPr>
          <w:rFonts w:ascii="Calibri" w:hAnsi="Calibri" w:cs="Minion-Regular"/>
          <w:b/>
          <w:color w:val="62170D" w:themeColor="accent5" w:themeShade="80"/>
          <w:sz w:val="24"/>
          <w:lang w:val="nb-NO"/>
        </w:rPr>
        <w:t>.</w:t>
      </w:r>
    </w:p>
    <w:p w:rsidR="00105DB3" w:rsidRPr="00105DB3" w:rsidRDefault="00105DB3" w:rsidP="00105DB3">
      <w:pPr>
        <w:autoSpaceDE w:val="0"/>
        <w:autoSpaceDN w:val="0"/>
        <w:adjustRightInd w:val="0"/>
        <w:spacing w:after="0" w:line="240" w:lineRule="auto"/>
        <w:rPr>
          <w:rFonts w:ascii="Calibri" w:hAnsi="Calibri" w:cs="Minion-Regular"/>
          <w:color w:val="62170D" w:themeColor="accent5" w:themeShade="80"/>
          <w:sz w:val="28"/>
          <w:lang w:val="nb-NO"/>
        </w:rPr>
      </w:pPr>
    </w:p>
    <w:p w:rsidR="00105DB3" w:rsidRPr="00105DB3" w:rsidRDefault="00105DB3" w:rsidP="00105DB3">
      <w:pPr>
        <w:numPr>
          <w:ilvl w:val="0"/>
          <w:numId w:val="1"/>
        </w:numPr>
        <w:spacing w:after="0" w:line="240" w:lineRule="auto"/>
        <w:contextualSpacing/>
        <w:textAlignment w:val="baseline"/>
        <w:rPr>
          <w:rFonts w:ascii="Calibri" w:eastAsia="Times New Roman" w:hAnsi="Calibri" w:cs="Times New Roman"/>
          <w:sz w:val="22"/>
          <w:szCs w:val="24"/>
          <w:lang w:val="nb-NO" w:eastAsia="nb-NO"/>
        </w:rPr>
      </w:pPr>
      <w:r w:rsidRPr="00105DB3">
        <w:rPr>
          <w:rFonts w:ascii="Calibri" w:hAnsi="Calibri"/>
          <w:bCs/>
          <w:color w:val="000000" w:themeColor="text1"/>
          <w:kern w:val="24"/>
          <w:sz w:val="22"/>
          <w:szCs w:val="24"/>
          <w:lang w:val="nb-NO" w:eastAsia="nb-NO"/>
        </w:rPr>
        <w:t>I menigheter med kateket er det denne som</w:t>
      </w:r>
      <w:r w:rsidR="00EE3E13">
        <w:rPr>
          <w:rFonts w:ascii="Calibri" w:hAnsi="Calibri"/>
          <w:bCs/>
          <w:color w:val="000000" w:themeColor="text1"/>
          <w:kern w:val="24"/>
          <w:sz w:val="22"/>
          <w:szCs w:val="24"/>
          <w:lang w:val="nb-NO" w:eastAsia="nb-NO"/>
        </w:rPr>
        <w:t xml:space="preserve"> normalt</w:t>
      </w:r>
      <w:r w:rsidRPr="00105DB3">
        <w:rPr>
          <w:rFonts w:ascii="Calibri" w:hAnsi="Calibri"/>
          <w:bCs/>
          <w:color w:val="000000" w:themeColor="text1"/>
          <w:kern w:val="24"/>
          <w:sz w:val="22"/>
          <w:szCs w:val="24"/>
          <w:lang w:val="nb-NO" w:eastAsia="nb-NO"/>
        </w:rPr>
        <w:t xml:space="preserve"> leder konfirmantarbeidet.</w:t>
      </w:r>
    </w:p>
    <w:p w:rsidR="00105DB3" w:rsidRPr="00105DB3" w:rsidRDefault="00105DB3" w:rsidP="00105DB3">
      <w:pPr>
        <w:numPr>
          <w:ilvl w:val="0"/>
          <w:numId w:val="1"/>
        </w:numPr>
        <w:spacing w:after="0" w:line="240" w:lineRule="auto"/>
        <w:contextualSpacing/>
        <w:textAlignment w:val="baseline"/>
        <w:rPr>
          <w:rFonts w:ascii="Calibri" w:eastAsia="Times New Roman" w:hAnsi="Calibri" w:cs="Times New Roman"/>
          <w:sz w:val="22"/>
          <w:szCs w:val="24"/>
          <w:lang w:val="nb-NO" w:eastAsia="nb-NO"/>
        </w:rPr>
      </w:pPr>
      <w:r w:rsidRPr="00105DB3">
        <w:rPr>
          <w:rFonts w:ascii="Calibri" w:hAnsi="Calibri"/>
          <w:bCs/>
          <w:color w:val="000000" w:themeColor="text1"/>
          <w:kern w:val="24"/>
          <w:sz w:val="22"/>
          <w:szCs w:val="24"/>
          <w:lang w:val="nb-NO" w:eastAsia="nb-NO"/>
        </w:rPr>
        <w:t>Presten har dette arbeidet som en del av sin tjenesteordning. Presten skal være med i like stor grad som før reformen.</w:t>
      </w:r>
    </w:p>
    <w:p w:rsidR="00105DB3" w:rsidRPr="0088427F" w:rsidRDefault="00105DB3" w:rsidP="00105DB3">
      <w:pPr>
        <w:numPr>
          <w:ilvl w:val="0"/>
          <w:numId w:val="1"/>
        </w:numPr>
        <w:spacing w:after="0" w:line="240" w:lineRule="auto"/>
        <w:contextualSpacing/>
        <w:textAlignment w:val="baseline"/>
        <w:rPr>
          <w:rFonts w:ascii="Calibri" w:eastAsia="Times New Roman" w:hAnsi="Calibri" w:cs="Times New Roman"/>
          <w:sz w:val="22"/>
          <w:szCs w:val="24"/>
          <w:lang w:val="nb-NO" w:eastAsia="nb-NO"/>
        </w:rPr>
      </w:pPr>
      <w:r w:rsidRPr="00105DB3">
        <w:rPr>
          <w:rFonts w:ascii="Calibri" w:eastAsia="Times New Roman" w:hAnsi="Calibri" w:cs="Times New Roman"/>
          <w:sz w:val="22"/>
          <w:szCs w:val="24"/>
          <w:lang w:val="nb-NO" w:eastAsia="nb-NO"/>
        </w:rPr>
        <w:t>Menigheten</w:t>
      </w:r>
      <w:r w:rsidRPr="00105DB3">
        <w:rPr>
          <w:rFonts w:ascii="Calibri" w:hAnsi="Calibri"/>
          <w:bCs/>
          <w:color w:val="000000" w:themeColor="text1"/>
          <w:kern w:val="24"/>
          <w:sz w:val="22"/>
          <w:szCs w:val="24"/>
          <w:lang w:val="nb-NO" w:eastAsia="nb-NO"/>
        </w:rPr>
        <w:t xml:space="preserve"> kan vurdere om trosopplæringsansatte skal noe inn i konfirmantarbeidet som en del av det økte omfanget/opptrappingen. </w:t>
      </w:r>
    </w:p>
    <w:p w:rsidR="0088427F" w:rsidRPr="0088427F" w:rsidRDefault="0088427F" w:rsidP="0088427F">
      <w:pPr>
        <w:spacing w:after="0" w:line="240" w:lineRule="auto"/>
        <w:ind w:left="720"/>
        <w:contextualSpacing/>
        <w:textAlignment w:val="baseline"/>
        <w:rPr>
          <w:rFonts w:ascii="Calibri" w:eastAsia="Times New Roman" w:hAnsi="Calibri" w:cs="Times New Roman"/>
          <w:sz w:val="22"/>
          <w:szCs w:val="24"/>
          <w:lang w:val="nb-NO" w:eastAsia="nb-NO"/>
        </w:rPr>
      </w:pPr>
    </w:p>
    <w:p w:rsidR="00B0415B" w:rsidRPr="003F1C4E" w:rsidRDefault="00B0415B" w:rsidP="00105DB3">
      <w:pPr>
        <w:pStyle w:val="Overskrift1"/>
        <w:rPr>
          <w:b/>
          <w:noProof/>
          <w:lang w:val="nb-NO"/>
        </w:rPr>
      </w:pPr>
      <w:r w:rsidRPr="003F1C4E">
        <w:rPr>
          <w:b/>
          <w:noProof/>
          <w:lang w:val="nb-NO"/>
        </w:rPr>
        <w:t>Tverrfaglig samarbeid</w:t>
      </w:r>
    </w:p>
    <w:p w:rsidR="00105DB3" w:rsidRPr="003F1C4E" w:rsidRDefault="00105DB3" w:rsidP="00105DB3">
      <w:pPr>
        <w:rPr>
          <w:rFonts w:ascii="Calibri" w:hAnsi="Calibri"/>
          <w:b/>
          <w:color w:val="62170D" w:themeColor="accent5" w:themeShade="80"/>
          <w:sz w:val="24"/>
          <w:lang w:val="nb-NO"/>
        </w:rPr>
      </w:pPr>
      <w:r w:rsidRPr="003F1C4E">
        <w:rPr>
          <w:rFonts w:ascii="Calibri" w:hAnsi="Calibri"/>
          <w:b/>
          <w:color w:val="62170D" w:themeColor="accent5" w:themeShade="80"/>
          <w:sz w:val="24"/>
          <w:lang w:val="nb-NO"/>
        </w:rPr>
        <w:t xml:space="preserve">I </w:t>
      </w:r>
      <w:r w:rsidR="003F1C4E" w:rsidRPr="003F1C4E">
        <w:rPr>
          <w:rFonts w:ascii="Calibri" w:hAnsi="Calibri"/>
          <w:b/>
          <w:color w:val="62170D" w:themeColor="accent5" w:themeShade="80"/>
          <w:sz w:val="24"/>
          <w:lang w:val="nb-NO"/>
        </w:rPr>
        <w:t>kapittel seks i TOP</w:t>
      </w:r>
      <w:r w:rsidRPr="003F1C4E">
        <w:rPr>
          <w:rFonts w:ascii="Calibri" w:hAnsi="Calibri"/>
          <w:b/>
          <w:color w:val="62170D" w:themeColor="accent5" w:themeShade="80"/>
          <w:sz w:val="24"/>
          <w:lang w:val="nb-NO"/>
        </w:rPr>
        <w:t xml:space="preserve"> beskrives de 11 sentrale dimensjonene menigheten skal arbeide med i sin trosopplæring. En av dimensjonene er tverrfaglig samarbeid. Dette </w:t>
      </w:r>
      <w:r w:rsidR="003F1C4E" w:rsidRPr="003F1C4E">
        <w:rPr>
          <w:rFonts w:ascii="Calibri" w:hAnsi="Calibri"/>
          <w:b/>
          <w:color w:val="62170D" w:themeColor="accent5" w:themeShade="80"/>
          <w:sz w:val="24"/>
          <w:lang w:val="nb-NO"/>
        </w:rPr>
        <w:t xml:space="preserve">er en viktig dimensjon å tenke gjennom når det </w:t>
      </w:r>
      <w:r w:rsidRPr="003F1C4E">
        <w:rPr>
          <w:rFonts w:ascii="Calibri" w:hAnsi="Calibri"/>
          <w:b/>
          <w:color w:val="62170D" w:themeColor="accent5" w:themeShade="80"/>
          <w:sz w:val="24"/>
          <w:lang w:val="nb-NO"/>
        </w:rPr>
        <w:t>gjelder konfirmasjonstiden.</w:t>
      </w:r>
    </w:p>
    <w:p w:rsidR="00B0415B" w:rsidRPr="00B0415B" w:rsidRDefault="00B0415B" w:rsidP="00B0415B">
      <w:pPr>
        <w:pStyle w:val="NormalWeb"/>
        <w:rPr>
          <w:rFonts w:ascii="Calibri" w:hAnsi="Calibri"/>
          <w:sz w:val="22"/>
          <w:szCs w:val="22"/>
        </w:rPr>
      </w:pPr>
      <w:r w:rsidRPr="00105DB3">
        <w:rPr>
          <w:rFonts w:ascii="Calibri" w:hAnsi="Calibri"/>
          <w:b/>
          <w:sz w:val="22"/>
          <w:szCs w:val="22"/>
        </w:rPr>
        <w:t>Tverrfaglig samarbeid er nødvendig for å nå målene for menighetens trosopplæring og konfirmantarbeidet.</w:t>
      </w:r>
      <w:r w:rsidRPr="00B0415B">
        <w:rPr>
          <w:rFonts w:ascii="Calibri" w:hAnsi="Calibri"/>
          <w:sz w:val="22"/>
          <w:szCs w:val="22"/>
        </w:rPr>
        <w:t xml:space="preserve"> Trosopplæringens omfang og helhetlige læringssyn utfordrer staben til tverrfaglig samarbeid, der den enkelte ut fra sin arbeidsinstruks, kompetanse, erfaring og nådegaver deltar i menighetens planlegging og gjennomføring av trosopplæringen.</w:t>
      </w:r>
    </w:p>
    <w:p w:rsidR="00B0415B" w:rsidRPr="00B0415B" w:rsidRDefault="00B0415B" w:rsidP="00B0415B">
      <w:pPr>
        <w:pStyle w:val="NormalWeb"/>
        <w:rPr>
          <w:rFonts w:ascii="Calibri" w:hAnsi="Calibri"/>
          <w:sz w:val="22"/>
          <w:szCs w:val="22"/>
        </w:rPr>
      </w:pPr>
      <w:r w:rsidRPr="00B0415B">
        <w:rPr>
          <w:rFonts w:ascii="Calibri" w:hAnsi="Calibri"/>
          <w:sz w:val="22"/>
          <w:szCs w:val="22"/>
        </w:rPr>
        <w:t xml:space="preserve">Det er et </w:t>
      </w:r>
      <w:r w:rsidRPr="00105DB3">
        <w:rPr>
          <w:rFonts w:ascii="Calibri" w:hAnsi="Calibri"/>
          <w:b/>
          <w:sz w:val="22"/>
          <w:szCs w:val="22"/>
        </w:rPr>
        <w:t>ledelsesansvar</w:t>
      </w:r>
      <w:r w:rsidRPr="00B0415B">
        <w:rPr>
          <w:rFonts w:ascii="Calibri" w:hAnsi="Calibri"/>
          <w:sz w:val="22"/>
          <w:szCs w:val="22"/>
        </w:rPr>
        <w:t xml:space="preserve"> å legge til rette for at alle ansatte sammen kan bidra med sin kompet</w:t>
      </w:r>
      <w:r w:rsidR="00105DB3">
        <w:rPr>
          <w:rFonts w:ascii="Calibri" w:hAnsi="Calibri"/>
          <w:sz w:val="22"/>
          <w:szCs w:val="22"/>
        </w:rPr>
        <w:t>anse i en fornyet trosopplæring (se kapittel 8, s. 40-41 i TOP).</w:t>
      </w:r>
      <w:r w:rsidRPr="00B0415B">
        <w:rPr>
          <w:rFonts w:ascii="Calibri" w:hAnsi="Calibri"/>
          <w:sz w:val="22"/>
          <w:szCs w:val="22"/>
        </w:rPr>
        <w:t xml:space="preserve"> Menighetens </w:t>
      </w:r>
      <w:r w:rsidR="00105DB3">
        <w:rPr>
          <w:rFonts w:ascii="Calibri" w:hAnsi="Calibri"/>
          <w:sz w:val="22"/>
          <w:szCs w:val="22"/>
        </w:rPr>
        <w:t>konfirmantplan</w:t>
      </w:r>
      <w:r w:rsidRPr="00B0415B">
        <w:rPr>
          <w:rFonts w:ascii="Calibri" w:hAnsi="Calibri"/>
          <w:sz w:val="22"/>
          <w:szCs w:val="22"/>
        </w:rPr>
        <w:t xml:space="preserve"> må ses i sammenheng med planen for trosopplæring, og de ansatte må bruke ressurser og arbeidstid til beste for å gjennomføre de tiltak som er vedtatt i menigheten.</w:t>
      </w:r>
    </w:p>
    <w:p w:rsidR="00B0415B" w:rsidRPr="00B0415B" w:rsidRDefault="00B0415B" w:rsidP="00B0415B">
      <w:pPr>
        <w:pStyle w:val="NormalWeb"/>
        <w:rPr>
          <w:rFonts w:ascii="Calibri" w:hAnsi="Calibri"/>
          <w:sz w:val="22"/>
          <w:szCs w:val="22"/>
        </w:rPr>
      </w:pPr>
      <w:r w:rsidRPr="00B0415B">
        <w:rPr>
          <w:rFonts w:ascii="Calibri" w:hAnsi="Calibri"/>
          <w:sz w:val="22"/>
          <w:szCs w:val="22"/>
        </w:rPr>
        <w:t>Sammen med barne- og ungdomsarbeidere, trosopplæringsmedarbeidere, kateketer, prester, menighetspedagoger, diakoner, kirkemusikere og andre i feltet undervisning, er de ansatte med andre hovedoppgaver også nødvendige for å gjennomføre menighetens trosopplæring.</w:t>
      </w:r>
    </w:p>
    <w:p w:rsidR="00B0415B" w:rsidRPr="00B0415B" w:rsidRDefault="00B0415B" w:rsidP="00B0415B">
      <w:pPr>
        <w:pStyle w:val="NormalWeb"/>
        <w:rPr>
          <w:rFonts w:ascii="Calibri" w:hAnsi="Calibri"/>
          <w:sz w:val="22"/>
          <w:szCs w:val="22"/>
        </w:rPr>
      </w:pPr>
      <w:r w:rsidRPr="00B0415B">
        <w:rPr>
          <w:rFonts w:ascii="Calibri" w:hAnsi="Calibri"/>
          <w:sz w:val="22"/>
          <w:szCs w:val="22"/>
        </w:rPr>
        <w:t>- Diakonien bringer viktige anliggender inn i trosopplæringen som skal gi livshjelp, som skjer i fellesskapet og som skal være tilrettelagt for mennesker i ulike livssituasjoner.</w:t>
      </w:r>
    </w:p>
    <w:p w:rsidR="00B0415B" w:rsidRPr="00B0415B" w:rsidRDefault="00B0415B" w:rsidP="00B0415B">
      <w:pPr>
        <w:pStyle w:val="NormalWeb"/>
        <w:rPr>
          <w:rFonts w:ascii="Calibri" w:hAnsi="Calibri"/>
          <w:sz w:val="22"/>
          <w:szCs w:val="22"/>
        </w:rPr>
      </w:pPr>
      <w:r w:rsidRPr="00B0415B">
        <w:rPr>
          <w:rFonts w:ascii="Calibri" w:hAnsi="Calibri"/>
          <w:sz w:val="22"/>
          <w:szCs w:val="22"/>
        </w:rPr>
        <w:t>- Kirkemusikalske aktiviteter for barn og unge er en god arena for læring av bibeltekster, liturgi og salmer. Gudstjenesten er menighetens hovedsamling og en sentral arena i trosopplæringen. Kirkemusikeren har dermed viktige oppgaver i tilknytning til trosopplæringen.</w:t>
      </w:r>
    </w:p>
    <w:p w:rsidR="00B0415B" w:rsidRPr="00B0415B" w:rsidRDefault="00B0415B" w:rsidP="00B0415B">
      <w:pPr>
        <w:pStyle w:val="NormalWeb"/>
        <w:rPr>
          <w:rFonts w:ascii="Calibri" w:hAnsi="Calibri"/>
          <w:sz w:val="22"/>
          <w:szCs w:val="22"/>
        </w:rPr>
      </w:pPr>
      <w:r w:rsidRPr="00B0415B">
        <w:rPr>
          <w:rFonts w:ascii="Calibri" w:hAnsi="Calibri"/>
          <w:sz w:val="22"/>
          <w:szCs w:val="22"/>
        </w:rPr>
        <w:lastRenderedPageBreak/>
        <w:t>- Kirketjener og administrativt personell har nøkkelfunksjoner, siden de ofte møter barn, unge og foreldre/foresatte i forbindelse med ulike tiltak. Måten de utfører sitt arbeid på er med å prege folks inntrykk av kirken.</w:t>
      </w:r>
    </w:p>
    <w:p w:rsidR="00B0415B" w:rsidRPr="00B0415B" w:rsidRDefault="00B0415B" w:rsidP="00B0415B">
      <w:pPr>
        <w:pStyle w:val="NormalWeb"/>
        <w:rPr>
          <w:rFonts w:ascii="Calibri" w:hAnsi="Calibri"/>
          <w:sz w:val="22"/>
          <w:szCs w:val="22"/>
        </w:rPr>
      </w:pPr>
      <w:r w:rsidRPr="00B0415B">
        <w:rPr>
          <w:rFonts w:ascii="Calibri" w:hAnsi="Calibri"/>
          <w:sz w:val="22"/>
          <w:szCs w:val="22"/>
        </w:rPr>
        <w:t>Tverrfaglighet i det utøvende arbeidet i møte med barn og unge er avgjørende for å lykkes med en fornyet trosopplæring. Tverrfaglighet favner også frivillige medarbeidere. Det er viktig å legge til rette for godt samvirke mellom de ansatte og de frivillige medarbeidernes kompetanse, og å finne rutiner for hvordan tverrfaglig samarbeid kan utvikles. Tverrfagligheten omfatter dessuten frivillige medarbeideres profesjonelle kompetanse.</w:t>
      </w:r>
    </w:p>
    <w:p w:rsidR="00537B1E" w:rsidRDefault="00B0415B" w:rsidP="00B0415B">
      <w:pPr>
        <w:tabs>
          <w:tab w:val="left" w:pos="3720"/>
        </w:tabs>
        <w:rPr>
          <w:rFonts w:ascii="Calibri" w:hAnsi="Calibri"/>
          <w:sz w:val="22"/>
          <w:szCs w:val="22"/>
          <w:lang w:val="nb-NO"/>
        </w:rPr>
      </w:pPr>
      <w:r w:rsidRPr="00B0415B">
        <w:rPr>
          <w:rFonts w:ascii="Calibri" w:hAnsi="Calibri"/>
          <w:sz w:val="22"/>
          <w:szCs w:val="22"/>
          <w:lang w:val="nb-NO"/>
        </w:rPr>
        <w:t xml:space="preserve">Agder og Telemark har laget </w:t>
      </w:r>
      <w:r w:rsidR="00EE3E13">
        <w:rPr>
          <w:rFonts w:ascii="Calibri" w:hAnsi="Calibri"/>
          <w:sz w:val="22"/>
          <w:szCs w:val="22"/>
          <w:lang w:val="nb-NO"/>
        </w:rPr>
        <w:t xml:space="preserve">et notat </w:t>
      </w:r>
      <w:r w:rsidRPr="00B0415B">
        <w:rPr>
          <w:rFonts w:ascii="Calibri" w:hAnsi="Calibri"/>
          <w:sz w:val="22"/>
          <w:szCs w:val="22"/>
          <w:lang w:val="nb-NO"/>
        </w:rPr>
        <w:t xml:space="preserve">om </w:t>
      </w:r>
      <w:hyperlink r:id="rId6" w:history="1">
        <w:r w:rsidR="00EE3E13" w:rsidRPr="00EE3E13">
          <w:rPr>
            <w:rStyle w:val="Hyperkobling"/>
            <w:rFonts w:ascii="Calibri" w:hAnsi="Calibri"/>
            <w:sz w:val="22"/>
            <w:szCs w:val="22"/>
            <w:lang w:val="nb-NO"/>
          </w:rPr>
          <w:t>«Kirkestaben og trosopplæringsreformen»</w:t>
        </w:r>
      </w:hyperlink>
      <w:r w:rsidR="00EE3E13">
        <w:rPr>
          <w:rFonts w:ascii="Calibri" w:hAnsi="Calibri"/>
          <w:sz w:val="22"/>
          <w:szCs w:val="22"/>
          <w:lang w:val="nb-NO"/>
        </w:rPr>
        <w:t xml:space="preserve">  der det beskrives </w:t>
      </w:r>
      <w:r w:rsidRPr="00B0415B">
        <w:rPr>
          <w:rFonts w:ascii="Calibri" w:hAnsi="Calibri"/>
          <w:sz w:val="22"/>
          <w:szCs w:val="22"/>
          <w:lang w:val="nb-NO"/>
        </w:rPr>
        <w:t xml:space="preserve">hvordan </w:t>
      </w:r>
      <w:r w:rsidR="00EE3E13">
        <w:rPr>
          <w:rFonts w:ascii="Calibri" w:hAnsi="Calibri"/>
          <w:sz w:val="22"/>
          <w:szCs w:val="22"/>
          <w:lang w:val="nb-NO"/>
        </w:rPr>
        <w:t xml:space="preserve">reformen innvirker på de forskjellige yrkesgruppene og hvordan man kan tenke samarbeid. </w:t>
      </w:r>
      <w:r w:rsidRPr="00B0415B">
        <w:rPr>
          <w:rFonts w:ascii="Calibri" w:hAnsi="Calibri"/>
          <w:sz w:val="22"/>
          <w:szCs w:val="22"/>
          <w:lang w:val="nb-NO"/>
        </w:rPr>
        <w:t>Dette kan også inspirere til arbeidet med konfirmasjonstiden.</w:t>
      </w:r>
      <w:r w:rsidRPr="00B0415B">
        <w:rPr>
          <w:rFonts w:ascii="Calibri" w:hAnsi="Calibri"/>
          <w:sz w:val="22"/>
          <w:szCs w:val="22"/>
          <w:lang w:val="nb-NO"/>
        </w:rPr>
        <w:tab/>
      </w:r>
    </w:p>
    <w:p w:rsidR="0088427F" w:rsidRDefault="0088427F" w:rsidP="00B0415B">
      <w:pPr>
        <w:tabs>
          <w:tab w:val="left" w:pos="3720"/>
        </w:tabs>
        <w:rPr>
          <w:rFonts w:ascii="Calibri" w:hAnsi="Calibri"/>
          <w:sz w:val="22"/>
          <w:szCs w:val="22"/>
          <w:lang w:val="nb-NO"/>
        </w:rPr>
      </w:pPr>
    </w:p>
    <w:p w:rsidR="0088427F" w:rsidRPr="0088427F" w:rsidRDefault="0088427F" w:rsidP="00B0415B">
      <w:pPr>
        <w:tabs>
          <w:tab w:val="left" w:pos="3720"/>
        </w:tabs>
        <w:rPr>
          <w:rFonts w:ascii="Calibri" w:hAnsi="Calibri"/>
          <w:b/>
          <w:sz w:val="22"/>
          <w:lang w:val="nb-NO"/>
        </w:rPr>
      </w:pPr>
      <w:r w:rsidRPr="0088427F">
        <w:rPr>
          <w:rFonts w:ascii="Calibri" w:hAnsi="Calibri"/>
          <w:b/>
          <w:sz w:val="22"/>
          <w:lang w:val="nb-NO"/>
        </w:rPr>
        <w:t xml:space="preserve">Tverrfaglighet handler også om frivillige.  </w:t>
      </w:r>
      <w:r w:rsidRPr="0088427F">
        <w:rPr>
          <w:rFonts w:ascii="Calibri" w:hAnsi="Calibri"/>
          <w:sz w:val="22"/>
          <w:lang w:val="nb-NO"/>
        </w:rPr>
        <w:t>(</w:t>
      </w:r>
      <w:r>
        <w:rPr>
          <w:rFonts w:ascii="Calibri" w:hAnsi="Calibri"/>
          <w:sz w:val="22"/>
          <w:lang w:val="nb-NO"/>
        </w:rPr>
        <w:t>TOP</w:t>
      </w:r>
      <w:bookmarkStart w:id="0" w:name="_GoBack"/>
      <w:bookmarkEnd w:id="0"/>
      <w:r w:rsidRPr="0088427F">
        <w:rPr>
          <w:rFonts w:ascii="Calibri" w:hAnsi="Calibri"/>
          <w:sz w:val="22"/>
          <w:lang w:val="nb-NO"/>
        </w:rPr>
        <w:t> s. 38)</w:t>
      </w:r>
    </w:p>
    <w:p w:rsidR="0088427F" w:rsidRPr="0088427F" w:rsidRDefault="0088427F" w:rsidP="00B0415B">
      <w:pPr>
        <w:tabs>
          <w:tab w:val="left" w:pos="3720"/>
        </w:tabs>
        <w:rPr>
          <w:rFonts w:ascii="Calibri" w:hAnsi="Calibri"/>
          <w:sz w:val="24"/>
          <w:szCs w:val="22"/>
          <w:lang w:val="nb-NO"/>
        </w:rPr>
      </w:pPr>
      <w:r w:rsidRPr="0088427F">
        <w:rPr>
          <w:rFonts w:ascii="Calibri" w:hAnsi="Calibri"/>
          <w:sz w:val="22"/>
          <w:lang w:val="nb-NO"/>
        </w:rPr>
        <w:t xml:space="preserve">Den lokale planleggingen og gjennomføringen gjøres i samarbeid mellom menighetsråd, fellesråd, ulike utvalg i menigheten, ansatte og frivillige medarbeidere og, der det ligger til rette for det, frivillige organisasjoner og ev. andre samarbeidspartnere. Det gir rom for dynamikk, kreativitet, eierskap og godt samvirke mellom ansatte med ulik fagutdanning og for samvirke mellom frivillige, foresatte og ansatte. Barn, unge og foreldre/foresatte er trosopplæringens hovedpersoner. Gjennom å involvere disse i planprosessen og i evaluering og videreutvikling av trosopplæringen i menigheten medbestemmelse. En involverende planprosess bidrar til å skape et eierforhold til trosopplæringsarbeidet hos mange i menigheten, og dermed til å forankre trosopplæringen i menighetens virksomhet og selvforståelse. </w:t>
      </w:r>
    </w:p>
    <w:sectPr w:rsidR="0088427F" w:rsidRPr="008842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Minion-Regular">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3978"/>
    <w:multiLevelType w:val="hybridMultilevel"/>
    <w:tmpl w:val="D21AE314"/>
    <w:lvl w:ilvl="0" w:tplc="0262AA10">
      <w:start w:val="1"/>
      <w:numFmt w:val="bullet"/>
      <w:lvlText w:val="•"/>
      <w:lvlJc w:val="left"/>
      <w:pPr>
        <w:tabs>
          <w:tab w:val="num" w:pos="720"/>
        </w:tabs>
        <w:ind w:left="720" w:hanging="360"/>
      </w:pPr>
      <w:rPr>
        <w:rFonts w:ascii="Times New Roman" w:hAnsi="Times New Roman" w:hint="default"/>
      </w:rPr>
    </w:lvl>
    <w:lvl w:ilvl="1" w:tplc="D48823A6" w:tentative="1">
      <w:start w:val="1"/>
      <w:numFmt w:val="bullet"/>
      <w:lvlText w:val="•"/>
      <w:lvlJc w:val="left"/>
      <w:pPr>
        <w:tabs>
          <w:tab w:val="num" w:pos="1440"/>
        </w:tabs>
        <w:ind w:left="1440" w:hanging="360"/>
      </w:pPr>
      <w:rPr>
        <w:rFonts w:ascii="Times New Roman" w:hAnsi="Times New Roman" w:hint="default"/>
      </w:rPr>
    </w:lvl>
    <w:lvl w:ilvl="2" w:tplc="14FED1F4" w:tentative="1">
      <w:start w:val="1"/>
      <w:numFmt w:val="bullet"/>
      <w:lvlText w:val="•"/>
      <w:lvlJc w:val="left"/>
      <w:pPr>
        <w:tabs>
          <w:tab w:val="num" w:pos="2160"/>
        </w:tabs>
        <w:ind w:left="2160" w:hanging="360"/>
      </w:pPr>
      <w:rPr>
        <w:rFonts w:ascii="Times New Roman" w:hAnsi="Times New Roman" w:hint="default"/>
      </w:rPr>
    </w:lvl>
    <w:lvl w:ilvl="3" w:tplc="FD32FE68" w:tentative="1">
      <w:start w:val="1"/>
      <w:numFmt w:val="bullet"/>
      <w:lvlText w:val="•"/>
      <w:lvlJc w:val="left"/>
      <w:pPr>
        <w:tabs>
          <w:tab w:val="num" w:pos="2880"/>
        </w:tabs>
        <w:ind w:left="2880" w:hanging="360"/>
      </w:pPr>
      <w:rPr>
        <w:rFonts w:ascii="Times New Roman" w:hAnsi="Times New Roman" w:hint="default"/>
      </w:rPr>
    </w:lvl>
    <w:lvl w:ilvl="4" w:tplc="8E20047E" w:tentative="1">
      <w:start w:val="1"/>
      <w:numFmt w:val="bullet"/>
      <w:lvlText w:val="•"/>
      <w:lvlJc w:val="left"/>
      <w:pPr>
        <w:tabs>
          <w:tab w:val="num" w:pos="3600"/>
        </w:tabs>
        <w:ind w:left="3600" w:hanging="360"/>
      </w:pPr>
      <w:rPr>
        <w:rFonts w:ascii="Times New Roman" w:hAnsi="Times New Roman" w:hint="default"/>
      </w:rPr>
    </w:lvl>
    <w:lvl w:ilvl="5" w:tplc="985ED2E0" w:tentative="1">
      <w:start w:val="1"/>
      <w:numFmt w:val="bullet"/>
      <w:lvlText w:val="•"/>
      <w:lvlJc w:val="left"/>
      <w:pPr>
        <w:tabs>
          <w:tab w:val="num" w:pos="4320"/>
        </w:tabs>
        <w:ind w:left="4320" w:hanging="360"/>
      </w:pPr>
      <w:rPr>
        <w:rFonts w:ascii="Times New Roman" w:hAnsi="Times New Roman" w:hint="default"/>
      </w:rPr>
    </w:lvl>
    <w:lvl w:ilvl="6" w:tplc="8C6A560E" w:tentative="1">
      <w:start w:val="1"/>
      <w:numFmt w:val="bullet"/>
      <w:lvlText w:val="•"/>
      <w:lvlJc w:val="left"/>
      <w:pPr>
        <w:tabs>
          <w:tab w:val="num" w:pos="5040"/>
        </w:tabs>
        <w:ind w:left="5040" w:hanging="360"/>
      </w:pPr>
      <w:rPr>
        <w:rFonts w:ascii="Times New Roman" w:hAnsi="Times New Roman" w:hint="default"/>
      </w:rPr>
    </w:lvl>
    <w:lvl w:ilvl="7" w:tplc="E60E222A" w:tentative="1">
      <w:start w:val="1"/>
      <w:numFmt w:val="bullet"/>
      <w:lvlText w:val="•"/>
      <w:lvlJc w:val="left"/>
      <w:pPr>
        <w:tabs>
          <w:tab w:val="num" w:pos="5760"/>
        </w:tabs>
        <w:ind w:left="5760" w:hanging="360"/>
      </w:pPr>
      <w:rPr>
        <w:rFonts w:ascii="Times New Roman" w:hAnsi="Times New Roman" w:hint="default"/>
      </w:rPr>
    </w:lvl>
    <w:lvl w:ilvl="8" w:tplc="0A800F6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5B"/>
    <w:rsid w:val="00105DB3"/>
    <w:rsid w:val="003F1C4E"/>
    <w:rsid w:val="00422354"/>
    <w:rsid w:val="00537B1E"/>
    <w:rsid w:val="0088427F"/>
    <w:rsid w:val="008E2AD4"/>
    <w:rsid w:val="00B0415B"/>
    <w:rsid w:val="00EE3E13"/>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125CD-6ACD-47AB-A8C5-1363A1E5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Overskrift2">
    <w:name w:val="heading 2"/>
    <w:basedOn w:val="Normal"/>
    <w:next w:val="Normal"/>
    <w:link w:val="Overskrift2Tegn"/>
    <w:uiPriority w:val="9"/>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Overskrift3">
    <w:name w:val="heading 3"/>
    <w:basedOn w:val="Normal"/>
    <w:next w:val="Normal"/>
    <w:link w:val="Overskrift3Tegn"/>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Overskrift4">
    <w:name w:val="heading 4"/>
    <w:basedOn w:val="Normal"/>
    <w:next w:val="Normal"/>
    <w:link w:val="Overskrift4Tegn"/>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Overskrift5">
    <w:name w:val="heading 5"/>
    <w:basedOn w:val="Normal"/>
    <w:next w:val="Normal"/>
    <w:link w:val="Overskrift5Tegn"/>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Overskrift6">
    <w:name w:val="heading 6"/>
    <w:basedOn w:val="Normal"/>
    <w:next w:val="Normal"/>
    <w:link w:val="Overskrift6Tegn"/>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Overskrift7">
    <w:name w:val="heading 7"/>
    <w:basedOn w:val="Normal"/>
    <w:next w:val="Normal"/>
    <w:link w:val="Overskrift7Tegn"/>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Overskrift8">
    <w:name w:val="heading 8"/>
    <w:basedOn w:val="Normal"/>
    <w:next w:val="Normal"/>
    <w:link w:val="Overskrift8Tegn"/>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Overskrift9">
    <w:name w:val="heading 9"/>
    <w:basedOn w:val="Normal"/>
    <w:next w:val="Normal"/>
    <w:link w:val="Overskrift9Tegn"/>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telTegn">
    <w:name w:val="Tittel Tegn"/>
    <w:basedOn w:val="Standardskriftforavsnitt"/>
    <w:link w:val="Tittel"/>
    <w:uiPriority w:val="10"/>
    <w:rPr>
      <w:rFonts w:asciiTheme="majorHAnsi" w:eastAsiaTheme="majorEastAsia" w:hAnsiTheme="majorHAnsi" w:cstheme="majorBidi"/>
      <w:color w:val="90C226" w:themeColor="accent1"/>
      <w:spacing w:val="-7"/>
      <w:sz w:val="64"/>
      <w:szCs w:val="64"/>
    </w:rPr>
  </w:style>
  <w:style w:type="paragraph" w:styleId="Undertittel">
    <w:name w:val="Subtitle"/>
    <w:basedOn w:val="Normal"/>
    <w:next w:val="Normal"/>
    <w:link w:val="UndertittelTegn"/>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UndertittelTegn">
    <w:name w:val="Undertittel Tegn"/>
    <w:basedOn w:val="Standardskriftforavsnitt"/>
    <w:link w:val="Undertittel"/>
    <w:uiPriority w:val="11"/>
    <w:rPr>
      <w:rFonts w:asciiTheme="majorHAnsi" w:eastAsiaTheme="majorEastAsia" w:hAnsiTheme="majorHAnsi" w:cstheme="majorBidi"/>
      <w:color w:val="404040" w:themeColor="text1" w:themeTint="BF"/>
      <w:sz w:val="28"/>
      <w:szCs w:val="28"/>
    </w:r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90C226" w:themeColor="accent1"/>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90C226" w:themeColor="accent1"/>
      <w:sz w:val="28"/>
      <w:szCs w:val="28"/>
    </w:rPr>
  </w:style>
  <w:style w:type="character" w:customStyle="1" w:styleId="Overskrift3Tegn">
    <w:name w:val="Overskrift 3 Tegn"/>
    <w:basedOn w:val="Standardskriftforavsnitt"/>
    <w:link w:val="Overskrift3"/>
    <w:uiPriority w:val="9"/>
    <w:semiHidden/>
    <w:rPr>
      <w:rFonts w:asciiTheme="majorHAnsi" w:eastAsiaTheme="majorEastAsia" w:hAnsiTheme="majorHAnsi" w:cstheme="majorBidi"/>
      <w:color w:val="404040" w:themeColor="text1" w:themeTint="BF"/>
      <w:sz w:val="26"/>
      <w:szCs w:val="26"/>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sz w:val="24"/>
      <w:szCs w:val="24"/>
    </w:rPr>
  </w:style>
  <w:style w:type="character" w:customStyle="1" w:styleId="Overskrift5Tegn">
    <w:name w:val="Overskrift 5 Tegn"/>
    <w:basedOn w:val="Standardskriftforavsnitt"/>
    <w:link w:val="Overskrift5"/>
    <w:uiPriority w:val="9"/>
    <w:semiHidden/>
    <w:rPr>
      <w:rFonts w:asciiTheme="majorHAnsi" w:eastAsiaTheme="majorEastAsia" w:hAnsiTheme="majorHAnsi" w:cstheme="majorBidi"/>
      <w:i/>
      <w:iCs/>
      <w:sz w:val="22"/>
      <w:szCs w:val="22"/>
    </w:rPr>
  </w:style>
  <w:style w:type="character" w:customStyle="1" w:styleId="Overskrift6Tegn">
    <w:name w:val="Overskrift 6 Tegn"/>
    <w:basedOn w:val="Standardskriftforavsnitt"/>
    <w:link w:val="Overskrift6"/>
    <w:uiPriority w:val="9"/>
    <w:semiHidden/>
    <w:rPr>
      <w:rFonts w:asciiTheme="majorHAnsi" w:eastAsiaTheme="majorEastAsia" w:hAnsiTheme="majorHAnsi" w:cstheme="majorBidi"/>
      <w:color w:val="595959" w:themeColor="text1" w:themeTint="A6"/>
    </w:rPr>
  </w:style>
  <w:style w:type="character" w:customStyle="1" w:styleId="Overskrift7Tegn">
    <w:name w:val="Overskrift 7 Tegn"/>
    <w:basedOn w:val="Standardskriftforavsnitt"/>
    <w:link w:val="Overskrift7"/>
    <w:uiPriority w:val="9"/>
    <w:semiHidden/>
    <w:rPr>
      <w:rFonts w:asciiTheme="majorHAnsi" w:eastAsiaTheme="majorEastAsia" w:hAnsiTheme="majorHAnsi" w:cstheme="majorBidi"/>
      <w:i/>
      <w:iCs/>
      <w:color w:val="595959" w:themeColor="text1" w:themeTint="A6"/>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smallCaps/>
      <w:color w:val="595959" w:themeColor="text1" w:themeTint="A6"/>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
      <w:iCs/>
      <w:smallCaps/>
      <w:color w:val="595959" w:themeColor="text1" w:themeTint="A6"/>
    </w:rPr>
  </w:style>
  <w:style w:type="character" w:styleId="Svakutheving">
    <w:name w:val="Subtle Emphasis"/>
    <w:basedOn w:val="Standardskriftforavsnitt"/>
    <w:uiPriority w:val="19"/>
    <w:qFormat/>
    <w:rPr>
      <w:i/>
      <w:iCs/>
      <w:color w:val="595959" w:themeColor="text1" w:themeTint="A6"/>
    </w:rPr>
  </w:style>
  <w:style w:type="character" w:styleId="Utheving">
    <w:name w:val="Emphasis"/>
    <w:basedOn w:val="Standardskriftforavsnitt"/>
    <w:uiPriority w:val="20"/>
    <w:qFormat/>
    <w:rPr>
      <w:i/>
      <w:iCs/>
    </w:rPr>
  </w:style>
  <w:style w:type="character" w:styleId="Sterkutheving">
    <w:name w:val="Intense Emphasis"/>
    <w:basedOn w:val="Standardskriftforavsnitt"/>
    <w:uiPriority w:val="21"/>
    <w:qFormat/>
    <w:rPr>
      <w:b/>
      <w:bCs/>
      <w:i/>
      <w:iCs/>
    </w:rPr>
  </w:style>
  <w:style w:type="character" w:styleId="Sterk">
    <w:name w:val="Strong"/>
    <w:basedOn w:val="Standardskriftforavsnitt"/>
    <w:uiPriority w:val="22"/>
    <w:qFormat/>
    <w:rPr>
      <w:b/>
      <w:bCs/>
    </w:rPr>
  </w:style>
  <w:style w:type="paragraph" w:styleId="Sitat">
    <w:name w:val="Quote"/>
    <w:basedOn w:val="Normal"/>
    <w:next w:val="Normal"/>
    <w:link w:val="SitatTegn"/>
    <w:uiPriority w:val="29"/>
    <w:qFormat/>
    <w:pPr>
      <w:spacing w:before="240" w:after="240" w:line="252" w:lineRule="auto"/>
      <w:ind w:left="864" w:right="864"/>
      <w:jc w:val="center"/>
    </w:pPr>
    <w:rPr>
      <w:i/>
      <w:iCs/>
    </w:rPr>
  </w:style>
  <w:style w:type="character" w:customStyle="1" w:styleId="SitatTegn">
    <w:name w:val="Sitat Tegn"/>
    <w:basedOn w:val="Standardskriftforavsnitt"/>
    <w:link w:val="Sitat"/>
    <w:uiPriority w:val="29"/>
    <w:rPr>
      <w:i/>
      <w:iCs/>
    </w:rPr>
  </w:style>
  <w:style w:type="paragraph" w:styleId="Sterktsitat">
    <w:name w:val="Intense Quote"/>
    <w:basedOn w:val="Normal"/>
    <w:next w:val="Normal"/>
    <w:link w:val="SterktsitatTegn"/>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SterktsitatTegn">
    <w:name w:val="Sterkt sitat Tegn"/>
    <w:basedOn w:val="Standardskriftforavsnitt"/>
    <w:link w:val="Sterktsitat"/>
    <w:uiPriority w:val="30"/>
    <w:rPr>
      <w:rFonts w:asciiTheme="majorHAnsi" w:eastAsiaTheme="majorEastAsia" w:hAnsiTheme="majorHAnsi" w:cstheme="majorBidi"/>
      <w:color w:val="90C226" w:themeColor="accent1"/>
      <w:sz w:val="28"/>
      <w:szCs w:val="28"/>
    </w:rPr>
  </w:style>
  <w:style w:type="character" w:styleId="Svakreferanse">
    <w:name w:val="Subtle Reference"/>
    <w:basedOn w:val="Standardskriftforavsnitt"/>
    <w:uiPriority w:val="31"/>
    <w:qFormat/>
    <w:rPr>
      <w:smallCaps/>
      <w:color w:val="404040" w:themeColor="text1" w:themeTint="BF"/>
    </w:rPr>
  </w:style>
  <w:style w:type="character" w:styleId="Sterkreferanse">
    <w:name w:val="Intense Reference"/>
    <w:basedOn w:val="Standardskriftforavsnitt"/>
    <w:uiPriority w:val="32"/>
    <w:qFormat/>
    <w:rPr>
      <w:b/>
      <w:bCs/>
      <w:smallCaps/>
      <w:u w:val="single"/>
    </w:rPr>
  </w:style>
  <w:style w:type="character" w:styleId="Boktittel">
    <w:name w:val="Book Title"/>
    <w:basedOn w:val="Standardskriftforavsnitt"/>
    <w:uiPriority w:val="33"/>
    <w:qFormat/>
    <w:rPr>
      <w:b/>
      <w:bCs/>
      <w:smallCaps/>
    </w:rPr>
  </w:style>
  <w:style w:type="paragraph" w:styleId="Bildetekst">
    <w:name w:val="caption"/>
    <w:basedOn w:val="Normal"/>
    <w:next w:val="Normal"/>
    <w:uiPriority w:val="35"/>
    <w:semiHidden/>
    <w:unhideWhenUsed/>
    <w:qFormat/>
    <w:pPr>
      <w:spacing w:line="240" w:lineRule="auto"/>
    </w:pPr>
    <w:rPr>
      <w:b/>
      <w:bCs/>
      <w:color w:val="404040" w:themeColor="text1" w:themeTint="BF"/>
    </w:rPr>
  </w:style>
  <w:style w:type="paragraph" w:styleId="Overskriftforinnholdsfortegnelse">
    <w:name w:val="TOC Heading"/>
    <w:basedOn w:val="Overskrift1"/>
    <w:next w:val="Normal"/>
    <w:uiPriority w:val="39"/>
    <w:semiHidden/>
    <w:unhideWhenUsed/>
    <w:qFormat/>
    <w:pPr>
      <w:outlineLvl w:val="9"/>
    </w:pPr>
  </w:style>
  <w:style w:type="paragraph" w:styleId="Ingenmellomrom">
    <w:name w:val="No Spacing"/>
    <w:uiPriority w:val="1"/>
    <w:qFormat/>
    <w:pPr>
      <w:spacing w:after="0" w:line="240" w:lineRule="auto"/>
    </w:pPr>
  </w:style>
  <w:style w:type="paragraph" w:styleId="Listeavsnitt">
    <w:name w:val="List Paragraph"/>
    <w:basedOn w:val="Normal"/>
    <w:uiPriority w:val="34"/>
    <w:qFormat/>
    <w:pPr>
      <w:ind w:left="720"/>
      <w:contextualSpacing/>
    </w:pPr>
  </w:style>
  <w:style w:type="paragraph" w:styleId="NormalWeb">
    <w:name w:val="Normal (Web)"/>
    <w:basedOn w:val="Normal"/>
    <w:uiPriority w:val="99"/>
    <w:semiHidden/>
    <w:unhideWhenUsed/>
    <w:rsid w:val="00B0415B"/>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styleId="Hyperkobling">
    <w:name w:val="Hyperlink"/>
    <w:basedOn w:val="Standardskriftforavsnitt"/>
    <w:uiPriority w:val="99"/>
    <w:unhideWhenUsed/>
    <w:rsid w:val="00B0415B"/>
    <w:rPr>
      <w:color w:val="99CA3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797834">
      <w:bodyDiv w:val="1"/>
      <w:marLeft w:val="0"/>
      <w:marRight w:val="0"/>
      <w:marTop w:val="0"/>
      <w:marBottom w:val="0"/>
      <w:divBdr>
        <w:top w:val="none" w:sz="0" w:space="0" w:color="auto"/>
        <w:left w:val="none" w:sz="0" w:space="0" w:color="auto"/>
        <w:bottom w:val="none" w:sz="0" w:space="0" w:color="auto"/>
        <w:right w:val="none" w:sz="0" w:space="0" w:color="auto"/>
      </w:divBdr>
      <w:divsChild>
        <w:div w:id="1743331078">
          <w:marLeft w:val="0"/>
          <w:marRight w:val="0"/>
          <w:marTop w:val="0"/>
          <w:marBottom w:val="0"/>
          <w:divBdr>
            <w:top w:val="none" w:sz="0" w:space="0" w:color="auto"/>
            <w:left w:val="none" w:sz="0" w:space="0" w:color="auto"/>
            <w:bottom w:val="none" w:sz="0" w:space="0" w:color="auto"/>
            <w:right w:val="none" w:sz="0" w:space="0" w:color="auto"/>
          </w:divBdr>
          <w:divsChild>
            <w:div w:id="970474984">
              <w:marLeft w:val="0"/>
              <w:marRight w:val="0"/>
              <w:marTop w:val="0"/>
              <w:marBottom w:val="0"/>
              <w:divBdr>
                <w:top w:val="none" w:sz="0" w:space="0" w:color="auto"/>
                <w:left w:val="none" w:sz="0" w:space="0" w:color="auto"/>
                <w:bottom w:val="none" w:sz="0" w:space="0" w:color="auto"/>
                <w:right w:val="none" w:sz="0" w:space="0" w:color="auto"/>
              </w:divBdr>
              <w:divsChild>
                <w:div w:id="422534993">
                  <w:marLeft w:val="0"/>
                  <w:marRight w:val="0"/>
                  <w:marTop w:val="0"/>
                  <w:marBottom w:val="0"/>
                  <w:divBdr>
                    <w:top w:val="none" w:sz="0" w:space="0" w:color="auto"/>
                    <w:left w:val="none" w:sz="0" w:space="0" w:color="auto"/>
                    <w:bottom w:val="none" w:sz="0" w:space="0" w:color="auto"/>
                    <w:right w:val="none" w:sz="0" w:space="0" w:color="auto"/>
                  </w:divBdr>
                  <w:divsChild>
                    <w:div w:id="1422869579">
                      <w:marLeft w:val="0"/>
                      <w:marRight w:val="0"/>
                      <w:marTop w:val="0"/>
                      <w:marBottom w:val="0"/>
                      <w:divBdr>
                        <w:top w:val="none" w:sz="0" w:space="0" w:color="auto"/>
                        <w:left w:val="none" w:sz="0" w:space="0" w:color="auto"/>
                        <w:bottom w:val="none" w:sz="0" w:space="0" w:color="auto"/>
                        <w:right w:val="none" w:sz="0" w:space="0" w:color="auto"/>
                      </w:divBdr>
                      <w:divsChild>
                        <w:div w:id="34039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270963">
      <w:bodyDiv w:val="1"/>
      <w:marLeft w:val="0"/>
      <w:marRight w:val="0"/>
      <w:marTop w:val="0"/>
      <w:marBottom w:val="0"/>
      <w:divBdr>
        <w:top w:val="none" w:sz="0" w:space="0" w:color="auto"/>
        <w:left w:val="none" w:sz="0" w:space="0" w:color="auto"/>
        <w:bottom w:val="none" w:sz="0" w:space="0" w:color="auto"/>
        <w:right w:val="none" w:sz="0" w:space="0" w:color="auto"/>
      </w:divBdr>
      <w:divsChild>
        <w:div w:id="131870123">
          <w:marLeft w:val="0"/>
          <w:marRight w:val="0"/>
          <w:marTop w:val="86"/>
          <w:marBottom w:val="0"/>
          <w:divBdr>
            <w:top w:val="none" w:sz="0" w:space="0" w:color="auto"/>
            <w:left w:val="none" w:sz="0" w:space="0" w:color="auto"/>
            <w:bottom w:val="none" w:sz="0" w:space="0" w:color="auto"/>
            <w:right w:val="none" w:sz="0" w:space="0" w:color="auto"/>
          </w:divBdr>
        </w:div>
        <w:div w:id="641467972">
          <w:marLeft w:val="0"/>
          <w:marRight w:val="0"/>
          <w:marTop w:val="86"/>
          <w:marBottom w:val="0"/>
          <w:divBdr>
            <w:top w:val="none" w:sz="0" w:space="0" w:color="auto"/>
            <w:left w:val="none" w:sz="0" w:space="0" w:color="auto"/>
            <w:bottom w:val="none" w:sz="0" w:space="0" w:color="auto"/>
            <w:right w:val="none" w:sz="0" w:space="0" w:color="auto"/>
          </w:divBdr>
        </w:div>
        <w:div w:id="1718578065">
          <w:marLeft w:val="0"/>
          <w:marRight w:val="0"/>
          <w:marTop w:val="86"/>
          <w:marBottom w:val="0"/>
          <w:divBdr>
            <w:top w:val="none" w:sz="0" w:space="0" w:color="auto"/>
            <w:left w:val="none" w:sz="0" w:space="0" w:color="auto"/>
            <w:bottom w:val="none" w:sz="0" w:space="0" w:color="auto"/>
            <w:right w:val="none" w:sz="0" w:space="0" w:color="auto"/>
          </w:divBdr>
        </w:div>
        <w:div w:id="1103114466">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ssursbanken.no/wp-content/uploads/2012/10/Kirkestaben-og-Trosoppl&#230;ringsreformen.pdf"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582\AppData\Roaming\Microsoft\Maler\Fasettutforming%20(tom).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Fasettutforming (tom).dotx</Template>
  <TotalTime>45</TotalTime>
  <Pages>2</Pages>
  <Words>652</Words>
  <Characters>3460</Characters>
  <Application>Microsoft Office Word</Application>
  <DocSecurity>0</DocSecurity>
  <Lines>28</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Windows-bruker</dc:creator>
  <cp:keywords/>
  <cp:lastModifiedBy>Randi Langkaas</cp:lastModifiedBy>
  <cp:revision>3</cp:revision>
  <dcterms:created xsi:type="dcterms:W3CDTF">2015-05-22T12:29:00Z</dcterms:created>
  <dcterms:modified xsi:type="dcterms:W3CDTF">2016-02-11T14:12:00Z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